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1F" w:rsidRPr="008B1A1F" w:rsidRDefault="008B1A1F" w:rsidP="008B1A1F">
      <w:pPr>
        <w:keepNext/>
        <w:shd w:val="clear" w:color="auto" w:fill="008080"/>
        <w:spacing w:after="0" w:line="240" w:lineRule="auto"/>
        <w:jc w:val="center"/>
        <w:outlineLvl w:val="1"/>
        <w:rPr>
          <w:rFonts w:ascii="Times New Roman" w:eastAsia="Times New Roman" w:hAnsi="Times New Roman" w:cs="Times New Roman"/>
          <w:b/>
          <w:bCs/>
          <w:color w:val="FFFFFF"/>
          <w:sz w:val="38"/>
          <w:szCs w:val="24"/>
          <w:lang w:val="vi-VN"/>
        </w:rPr>
      </w:pPr>
      <w:r w:rsidRPr="008B1A1F">
        <w:rPr>
          <w:rFonts w:ascii="Times New Roman" w:eastAsia="Times New Roman" w:hAnsi="Times New Roman" w:cs="Times New Roman"/>
          <w:b/>
          <w:bCs/>
          <w:color w:val="FFFFFF"/>
          <w:sz w:val="38"/>
          <w:szCs w:val="24"/>
          <w:lang w:val="vi-VN"/>
        </w:rPr>
        <w:t>Bảng Tóm tắt quyền lợi Bảo hiểm</w:t>
      </w:r>
    </w:p>
    <w:p w:rsidR="008B1A1F" w:rsidRPr="008B1A1F" w:rsidRDefault="008B1A1F" w:rsidP="008B1A1F">
      <w:pPr>
        <w:spacing w:after="0" w:line="240" w:lineRule="auto"/>
        <w:rPr>
          <w:rFonts w:ascii="Times New Roman" w:eastAsia="Times New Roman" w:hAnsi="Times New Roman" w:cs="Times New Roman"/>
          <w:sz w:val="26"/>
          <w:szCs w:val="24"/>
          <w:lang w:val="vi-VN"/>
        </w:rPr>
      </w:pPr>
    </w:p>
    <w:p w:rsidR="008B1A1F" w:rsidRPr="008B1A1F" w:rsidRDefault="008B1A1F" w:rsidP="008B1A1F">
      <w:pPr>
        <w:spacing w:after="0" w:line="240" w:lineRule="auto"/>
        <w:ind w:right="-540"/>
        <w:jc w:val="both"/>
        <w:rPr>
          <w:rFonts w:ascii="Times New Roman" w:eastAsia="Times New Roman" w:hAnsi="Times New Roman" w:cs="Times New Roman"/>
          <w:color w:val="000000"/>
          <w:sz w:val="24"/>
          <w:szCs w:val="24"/>
          <w:lang w:val="en-US"/>
        </w:rPr>
      </w:pPr>
      <w:r w:rsidRPr="008B1A1F">
        <w:rPr>
          <w:rFonts w:ascii="Times New Roman" w:eastAsia="Times New Roman" w:hAnsi="Times New Roman" w:cs="Times New Roman"/>
          <w:color w:val="000000"/>
          <w:sz w:val="24"/>
          <w:szCs w:val="24"/>
          <w:lang w:val="vi-VN"/>
        </w:rPr>
        <w:t>Chi phí y tế được trả theo chi phí thực tế, thông lệ, cần thiết và hợp lý nhưng không vượt quá các giới hạn cụ thể quy định dưới đây. Toàn bộ các quyền lợi được tính bằng Vi</w:t>
      </w:r>
      <w:r w:rsidRPr="008B1A1F">
        <w:rPr>
          <w:rFonts w:ascii="Times New Roman" w:eastAsia="Times New Roman" w:hAnsi="Times New Roman" w:cs="Times New Roman"/>
          <w:color w:val="000000"/>
          <w:sz w:val="24"/>
          <w:szCs w:val="24"/>
          <w:lang w:val="en-US"/>
        </w:rPr>
        <w:t>ệ</w:t>
      </w:r>
      <w:r w:rsidRPr="008B1A1F">
        <w:rPr>
          <w:rFonts w:ascii="Times New Roman" w:eastAsia="Times New Roman" w:hAnsi="Times New Roman" w:cs="Times New Roman"/>
          <w:color w:val="000000"/>
          <w:sz w:val="24"/>
          <w:szCs w:val="24"/>
          <w:lang w:val="vi-VN"/>
        </w:rPr>
        <w:t>t Nam đ</w:t>
      </w:r>
      <w:r w:rsidRPr="008B1A1F">
        <w:rPr>
          <w:rFonts w:ascii="Times New Roman" w:eastAsia="Times New Roman" w:hAnsi="Times New Roman" w:cs="Times New Roman"/>
          <w:color w:val="000000"/>
          <w:sz w:val="24"/>
          <w:szCs w:val="24"/>
          <w:lang w:val="en-US"/>
        </w:rPr>
        <w:t>ồ</w:t>
      </w:r>
      <w:r w:rsidRPr="008B1A1F">
        <w:rPr>
          <w:rFonts w:ascii="Times New Roman" w:eastAsia="Times New Roman" w:hAnsi="Times New Roman" w:cs="Times New Roman"/>
          <w:color w:val="000000"/>
          <w:sz w:val="24"/>
          <w:szCs w:val="24"/>
          <w:lang w:val="vi-VN"/>
        </w:rPr>
        <w:t>ng và cho một người.</w:t>
      </w:r>
    </w:p>
    <w:p w:rsidR="008B1A1F" w:rsidRPr="008B1A1F" w:rsidRDefault="008B1A1F" w:rsidP="008B1A1F">
      <w:pPr>
        <w:spacing w:after="0" w:line="240" w:lineRule="auto"/>
        <w:ind w:right="-540"/>
        <w:jc w:val="right"/>
        <w:rPr>
          <w:rFonts w:ascii="Times New Roman" w:eastAsia="Times New Roman" w:hAnsi="Times New Roman" w:cs="Times New Roman"/>
          <w:color w:val="000000"/>
          <w:sz w:val="23"/>
          <w:szCs w:val="24"/>
          <w:lang w:val="en-US"/>
        </w:rPr>
      </w:pPr>
      <w:r w:rsidRPr="008B1A1F">
        <w:rPr>
          <w:rFonts w:ascii="Times New Roman" w:eastAsia="Times New Roman" w:hAnsi="Times New Roman" w:cs="Times New Roman"/>
          <w:color w:val="000000"/>
          <w:sz w:val="23"/>
          <w:szCs w:val="24"/>
          <w:lang w:val="vi-VN"/>
        </w:rPr>
        <w:t xml:space="preserve">Đơn vị: 1.000 </w:t>
      </w:r>
      <w:r w:rsidRPr="008B1A1F">
        <w:rPr>
          <w:rFonts w:ascii="Times New Roman" w:eastAsia="Times New Roman" w:hAnsi="Times New Roman" w:cs="Times New Roman"/>
          <w:color w:val="000000"/>
          <w:sz w:val="23"/>
          <w:szCs w:val="24"/>
          <w:lang w:val="en-US"/>
        </w:rPr>
        <w:t>VNĐ</w:t>
      </w: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60"/>
        <w:gridCol w:w="1242"/>
        <w:gridCol w:w="1242"/>
        <w:gridCol w:w="1242"/>
        <w:gridCol w:w="1224"/>
        <w:gridCol w:w="1260"/>
      </w:tblGrid>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center"/>
              <w:rPr>
                <w:rFonts w:ascii="Times New Roman" w:eastAsia="Times New Roman" w:hAnsi="Times New Roman" w:cs="Times New Roman"/>
                <w:b/>
                <w:color w:val="000000"/>
                <w:sz w:val="26"/>
                <w:szCs w:val="24"/>
                <w:lang w:val="vi-VN"/>
              </w:rPr>
            </w:pPr>
            <w:r w:rsidRPr="008B1A1F">
              <w:rPr>
                <w:rFonts w:ascii="Times New Roman" w:eastAsia="Times New Roman" w:hAnsi="Times New Roman" w:cs="Times New Roman"/>
                <w:b/>
                <w:color w:val="000000"/>
                <w:sz w:val="26"/>
                <w:szCs w:val="24"/>
                <w:lang w:val="vi-VN"/>
              </w:rPr>
              <w:t>STT</w:t>
            </w:r>
          </w:p>
        </w:tc>
        <w:tc>
          <w:tcPr>
            <w:tcW w:w="3960" w:type="dxa"/>
          </w:tcPr>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Chương trình</w:t>
            </w:r>
          </w:p>
        </w:tc>
        <w:tc>
          <w:tcPr>
            <w:tcW w:w="1242" w:type="dxa"/>
          </w:tcPr>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ChTr A</w:t>
            </w:r>
          </w:p>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USD</w:t>
            </w:r>
          </w:p>
        </w:tc>
        <w:tc>
          <w:tcPr>
            <w:tcW w:w="1242" w:type="dxa"/>
          </w:tcPr>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ChTr B</w:t>
            </w:r>
          </w:p>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USD</w:t>
            </w:r>
          </w:p>
        </w:tc>
        <w:tc>
          <w:tcPr>
            <w:tcW w:w="1242" w:type="dxa"/>
          </w:tcPr>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ChTr C</w:t>
            </w:r>
          </w:p>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USD</w:t>
            </w:r>
          </w:p>
        </w:tc>
        <w:tc>
          <w:tcPr>
            <w:tcW w:w="1224" w:type="dxa"/>
          </w:tcPr>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ChTr D</w:t>
            </w:r>
          </w:p>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USD</w:t>
            </w:r>
          </w:p>
        </w:tc>
        <w:tc>
          <w:tcPr>
            <w:tcW w:w="1260" w:type="dxa"/>
          </w:tcPr>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 xml:space="preserve">ChTr E </w:t>
            </w:r>
          </w:p>
          <w:p w:rsidR="008B1A1F" w:rsidRPr="008B1A1F" w:rsidRDefault="008B1A1F" w:rsidP="008B1A1F">
            <w:pPr>
              <w:spacing w:after="0" w:line="240" w:lineRule="auto"/>
              <w:jc w:val="center"/>
              <w:rPr>
                <w:rFonts w:ascii="Times New Roman" w:eastAsia="Times New Roman" w:hAnsi="Times New Roman" w:cs="Times New Roman"/>
                <w:b/>
                <w:color w:val="000000"/>
                <w:szCs w:val="24"/>
                <w:lang w:val="vi-VN"/>
              </w:rPr>
            </w:pPr>
            <w:r w:rsidRPr="008B1A1F">
              <w:rPr>
                <w:rFonts w:ascii="Times New Roman" w:eastAsia="Times New Roman" w:hAnsi="Times New Roman" w:cs="Times New Roman"/>
                <w:b/>
                <w:color w:val="000000"/>
                <w:szCs w:val="24"/>
                <w:lang w:val="vi-VN"/>
              </w:rPr>
              <w:t>USD</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w:t>
            </w:r>
          </w:p>
        </w:tc>
        <w:tc>
          <w:tcPr>
            <w:tcW w:w="3960" w:type="dxa"/>
          </w:tcPr>
          <w:p w:rsidR="008B1A1F" w:rsidRPr="008B1A1F" w:rsidRDefault="008B1A1F" w:rsidP="008B1A1F">
            <w:pPr>
              <w:spacing w:after="0" w:line="240" w:lineRule="auto"/>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Giới hạn lãnh thổ</w:t>
            </w:r>
          </w:p>
          <w:p w:rsidR="008B1A1F" w:rsidRPr="008B1A1F" w:rsidRDefault="008B1A1F" w:rsidP="008B1A1F">
            <w:pPr>
              <w:spacing w:after="0" w:line="240" w:lineRule="auto"/>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Chi phí y tế và rủi ro phát sinh được bảo hiểm tại</w:t>
            </w:r>
          </w:p>
        </w:tc>
        <w:tc>
          <w:tcPr>
            <w:tcW w:w="1242" w:type="dxa"/>
          </w:tcPr>
          <w:p w:rsidR="008B1A1F" w:rsidRPr="008B1A1F" w:rsidRDefault="008B1A1F" w:rsidP="008B1A1F">
            <w:pPr>
              <w:spacing w:after="0" w:line="240" w:lineRule="auto"/>
              <w:jc w:val="center"/>
              <w:rPr>
                <w:rFonts w:ascii="Times New Roman" w:eastAsia="Times New Roman" w:hAnsi="Times New Roman" w:cs="Times New Roman"/>
                <w:color w:val="000000"/>
                <w:szCs w:val="24"/>
                <w:lang w:val="vi-VN"/>
              </w:rPr>
            </w:pPr>
          </w:p>
          <w:p w:rsidR="008B1A1F" w:rsidRPr="008B1A1F" w:rsidRDefault="008B1A1F" w:rsidP="008B1A1F">
            <w:pPr>
              <w:spacing w:after="0" w:line="240" w:lineRule="auto"/>
              <w:jc w:val="center"/>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Việt Nam </w:t>
            </w:r>
          </w:p>
        </w:tc>
        <w:tc>
          <w:tcPr>
            <w:tcW w:w="1242" w:type="dxa"/>
          </w:tcPr>
          <w:p w:rsidR="008B1A1F" w:rsidRPr="008B1A1F" w:rsidRDefault="008B1A1F" w:rsidP="008B1A1F">
            <w:pPr>
              <w:spacing w:after="0" w:line="240" w:lineRule="auto"/>
              <w:rPr>
                <w:rFonts w:ascii="Times New Roman" w:eastAsia="Times New Roman" w:hAnsi="Times New Roman" w:cs="Times New Roman"/>
                <w:color w:val="000000"/>
                <w:szCs w:val="24"/>
                <w:lang w:val="vi-VN"/>
              </w:rPr>
            </w:pPr>
          </w:p>
          <w:p w:rsidR="008B1A1F" w:rsidRPr="008B1A1F" w:rsidRDefault="008B1A1F" w:rsidP="008B1A1F">
            <w:pPr>
              <w:spacing w:after="0" w:line="240" w:lineRule="auto"/>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Đông Nam Á trừ Singapore</w:t>
            </w:r>
          </w:p>
        </w:tc>
        <w:tc>
          <w:tcPr>
            <w:tcW w:w="1242" w:type="dxa"/>
          </w:tcPr>
          <w:p w:rsidR="008B1A1F" w:rsidRPr="008B1A1F" w:rsidRDefault="008B1A1F" w:rsidP="008B1A1F">
            <w:pPr>
              <w:spacing w:after="0" w:line="288" w:lineRule="auto"/>
              <w:jc w:val="center"/>
              <w:rPr>
                <w:rFonts w:ascii="Times New Roman" w:eastAsia="Times New Roman" w:hAnsi="Times New Roman" w:cs="Times New Roman"/>
                <w:szCs w:val="24"/>
                <w:lang w:val="vi-VN"/>
              </w:rPr>
            </w:pPr>
          </w:p>
          <w:p w:rsidR="008B1A1F" w:rsidRPr="008B1A1F" w:rsidRDefault="008B1A1F" w:rsidP="008B1A1F">
            <w:pPr>
              <w:spacing w:after="0" w:line="240" w:lineRule="auto"/>
              <w:rPr>
                <w:rFonts w:ascii="Times New Roman" w:eastAsia="Times New Roman" w:hAnsi="Times New Roman" w:cs="Times New Roman"/>
                <w:szCs w:val="24"/>
                <w:lang w:val="vi-VN"/>
              </w:rPr>
            </w:pPr>
            <w:r w:rsidRPr="008B1A1F">
              <w:rPr>
                <w:rFonts w:ascii="Times New Roman" w:eastAsia="Times New Roman" w:hAnsi="Times New Roman" w:cs="Times New Roman"/>
                <w:szCs w:val="24"/>
                <w:lang w:val="vi-VN"/>
              </w:rPr>
              <w:t>Châu Á trừ Nhật, HK</w:t>
            </w:r>
          </w:p>
        </w:tc>
        <w:tc>
          <w:tcPr>
            <w:tcW w:w="1224" w:type="dxa"/>
          </w:tcPr>
          <w:p w:rsidR="008B1A1F" w:rsidRPr="008B1A1F" w:rsidRDefault="008B1A1F" w:rsidP="008B1A1F">
            <w:pPr>
              <w:spacing w:after="0" w:line="288" w:lineRule="auto"/>
              <w:jc w:val="center"/>
              <w:rPr>
                <w:rFonts w:ascii="Times New Roman" w:eastAsia="Times New Roman" w:hAnsi="Times New Roman" w:cs="Times New Roman"/>
                <w:szCs w:val="24"/>
                <w:lang w:val="vi-VN"/>
              </w:rPr>
            </w:pPr>
          </w:p>
          <w:p w:rsidR="008B1A1F" w:rsidRPr="008B1A1F" w:rsidRDefault="008B1A1F" w:rsidP="008B1A1F">
            <w:pPr>
              <w:spacing w:after="0" w:line="288" w:lineRule="auto"/>
              <w:jc w:val="center"/>
              <w:rPr>
                <w:rFonts w:ascii="Times New Roman" w:eastAsia="Times New Roman" w:hAnsi="Times New Roman" w:cs="Times New Roman"/>
                <w:szCs w:val="24"/>
                <w:lang w:val="vi-VN"/>
              </w:rPr>
            </w:pPr>
            <w:r w:rsidRPr="008B1A1F">
              <w:rPr>
                <w:rFonts w:ascii="Times New Roman" w:eastAsia="Times New Roman" w:hAnsi="Times New Roman" w:cs="Times New Roman"/>
                <w:szCs w:val="24"/>
                <w:lang w:val="vi-VN"/>
              </w:rPr>
              <w:t>Toàn cầu trừ Mỹ và Canada</w:t>
            </w:r>
          </w:p>
        </w:tc>
        <w:tc>
          <w:tcPr>
            <w:tcW w:w="1260" w:type="dxa"/>
          </w:tcPr>
          <w:p w:rsidR="008B1A1F" w:rsidRPr="008B1A1F" w:rsidRDefault="008B1A1F" w:rsidP="008B1A1F">
            <w:pPr>
              <w:spacing w:after="0" w:line="288" w:lineRule="auto"/>
              <w:jc w:val="center"/>
              <w:rPr>
                <w:rFonts w:ascii="Times New Roman" w:eastAsia="Times New Roman" w:hAnsi="Times New Roman" w:cs="Times New Roman"/>
                <w:szCs w:val="24"/>
                <w:lang w:val="vi-VN"/>
              </w:rPr>
            </w:pPr>
          </w:p>
          <w:p w:rsidR="008B1A1F" w:rsidRPr="008B1A1F" w:rsidRDefault="008B1A1F" w:rsidP="008B1A1F">
            <w:pPr>
              <w:spacing w:after="0" w:line="288" w:lineRule="auto"/>
              <w:jc w:val="center"/>
              <w:rPr>
                <w:rFonts w:ascii="Times New Roman" w:eastAsia="Times New Roman" w:hAnsi="Times New Roman" w:cs="Times New Roman"/>
                <w:szCs w:val="24"/>
                <w:lang w:val="vi-VN"/>
              </w:rPr>
            </w:pPr>
            <w:r w:rsidRPr="008B1A1F">
              <w:rPr>
                <w:rFonts w:ascii="Times New Roman" w:eastAsia="Times New Roman" w:hAnsi="Times New Roman" w:cs="Times New Roman"/>
                <w:szCs w:val="24"/>
                <w:lang w:val="vi-VN"/>
              </w:rPr>
              <w:t>Toàn cầu</w:t>
            </w:r>
          </w:p>
        </w:tc>
      </w:tr>
      <w:tr w:rsidR="008B1A1F" w:rsidRPr="008B1A1F" w:rsidTr="008F796A">
        <w:tblPrEx>
          <w:tblCellMar>
            <w:top w:w="0" w:type="dxa"/>
            <w:bottom w:w="0" w:type="dxa"/>
          </w:tblCellMar>
        </w:tblPrEx>
        <w:tc>
          <w:tcPr>
            <w:tcW w:w="720" w:type="dxa"/>
            <w:tcBorders>
              <w:bottom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2</w:t>
            </w:r>
          </w:p>
        </w:tc>
        <w:tc>
          <w:tcPr>
            <w:tcW w:w="3960" w:type="dxa"/>
            <w:tcBorders>
              <w:bottom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Số tiền bảo hiểm tối đa /một thời hạn bảo hiểm </w:t>
            </w:r>
          </w:p>
        </w:tc>
        <w:tc>
          <w:tcPr>
            <w:tcW w:w="1242"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
                <w:bCs/>
                <w:color w:val="000000"/>
                <w:szCs w:val="24"/>
                <w:lang w:val="vi-VN"/>
              </w:rPr>
            </w:pPr>
            <w:r w:rsidRPr="008B1A1F">
              <w:rPr>
                <w:rFonts w:ascii="Times New Roman" w:eastAsia="Times New Roman" w:hAnsi="Times New Roman" w:cs="Times New Roman"/>
                <w:b/>
                <w:bCs/>
                <w:color w:val="000000"/>
                <w:szCs w:val="24"/>
                <w:lang w:val="vi-VN"/>
              </w:rPr>
              <w:t>250.000</w:t>
            </w:r>
          </w:p>
        </w:tc>
        <w:tc>
          <w:tcPr>
            <w:tcW w:w="1242"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
                <w:bCs/>
                <w:color w:val="000000"/>
                <w:szCs w:val="24"/>
                <w:lang w:val="vi-VN"/>
              </w:rPr>
            </w:pPr>
            <w:r w:rsidRPr="008B1A1F">
              <w:rPr>
                <w:rFonts w:ascii="Times New Roman" w:eastAsia="Times New Roman" w:hAnsi="Times New Roman" w:cs="Times New Roman"/>
                <w:b/>
                <w:bCs/>
                <w:color w:val="000000"/>
                <w:szCs w:val="24"/>
                <w:lang w:val="vi-VN"/>
              </w:rPr>
              <w:t>500.000</w:t>
            </w:r>
          </w:p>
        </w:tc>
        <w:tc>
          <w:tcPr>
            <w:tcW w:w="1242"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
                <w:bCs/>
                <w:color w:val="000000"/>
                <w:szCs w:val="24"/>
                <w:lang w:val="vi-VN"/>
              </w:rPr>
            </w:pPr>
            <w:r w:rsidRPr="008B1A1F">
              <w:rPr>
                <w:rFonts w:ascii="Times New Roman" w:eastAsia="Times New Roman" w:hAnsi="Times New Roman" w:cs="Times New Roman"/>
                <w:b/>
                <w:bCs/>
                <w:color w:val="000000"/>
                <w:szCs w:val="24"/>
                <w:lang w:val="vi-VN"/>
              </w:rPr>
              <w:t>1.000.000</w:t>
            </w:r>
          </w:p>
        </w:tc>
        <w:tc>
          <w:tcPr>
            <w:tcW w:w="1224"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
                <w:bCs/>
                <w:color w:val="000000"/>
                <w:szCs w:val="24"/>
                <w:lang w:val="vi-VN"/>
              </w:rPr>
            </w:pPr>
            <w:r w:rsidRPr="008B1A1F">
              <w:rPr>
                <w:rFonts w:ascii="Times New Roman" w:eastAsia="Times New Roman" w:hAnsi="Times New Roman" w:cs="Times New Roman"/>
                <w:b/>
                <w:bCs/>
                <w:color w:val="000000"/>
                <w:szCs w:val="24"/>
                <w:lang w:val="vi-VN"/>
              </w:rPr>
              <w:t>2</w:t>
            </w:r>
            <w:r w:rsidRPr="008B1A1F">
              <w:rPr>
                <w:rFonts w:ascii="Arial" w:eastAsia="Times New Roman" w:hAnsi="Arial" w:cs="Times New Roman"/>
                <w:b/>
                <w:bCs/>
                <w:color w:val="000000"/>
                <w:szCs w:val="24"/>
                <w:lang w:val="vi-VN"/>
              </w:rPr>
              <w:t>.</w:t>
            </w:r>
            <w:r w:rsidRPr="008B1A1F">
              <w:rPr>
                <w:rFonts w:ascii="Times New Roman" w:eastAsia="Times New Roman" w:hAnsi="Times New Roman" w:cs="Times New Roman"/>
                <w:b/>
                <w:bCs/>
                <w:color w:val="000000"/>
                <w:szCs w:val="24"/>
                <w:lang w:val="vi-VN"/>
              </w:rPr>
              <w:t>000.000</w:t>
            </w:r>
          </w:p>
        </w:tc>
        <w:tc>
          <w:tcPr>
            <w:tcW w:w="1260"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
                <w:bCs/>
                <w:color w:val="000000"/>
                <w:szCs w:val="24"/>
                <w:lang w:val="vi-VN"/>
              </w:rPr>
            </w:pPr>
            <w:r w:rsidRPr="008B1A1F">
              <w:rPr>
                <w:rFonts w:ascii="Times New Roman" w:eastAsia="Times New Roman" w:hAnsi="Times New Roman" w:cs="Times New Roman"/>
                <w:b/>
                <w:bCs/>
                <w:color w:val="000000"/>
                <w:szCs w:val="24"/>
                <w:lang w:val="vi-VN"/>
              </w:rPr>
              <w:t>5.000.000</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3</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Bệnh mạn tính (30% số tiền bảo hiểm  một thời hạn bảo hiểm )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75,000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150,000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300,000 </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600,000 </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1,500,000 </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4</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Bệnh có sẵn (30% số tiền bảo hiểm  một thời hạn bảo hiểm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75,000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150,000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300,000 </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600,000 </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1,500,000 </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5</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Tiền phòng/tối </w:t>
            </w:r>
          </w:p>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(tối đa 180 ngày/một bệnh)</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1,000</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2,000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3,000</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4,000</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5,000</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6</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Phòng chăm sóc đặc biệt/ tối (tối đa 15 ngày/một bệnh)</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2,000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4,000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6,000</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8,000</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10,000</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7</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Các chi phí bệnh viện tổng hợp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17,500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35,000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70,000</w:t>
            </w:r>
          </w:p>
        </w:tc>
        <w:tc>
          <w:tcPr>
            <w:tcW w:w="1224" w:type="dxa"/>
            <w:vAlign w:val="bottom"/>
          </w:tcPr>
          <w:p w:rsidR="008B1A1F" w:rsidRPr="008B1A1F" w:rsidRDefault="008B1A1F" w:rsidP="008B1A1F">
            <w:pPr>
              <w:spacing w:after="0" w:line="240" w:lineRule="auto"/>
              <w:jc w:val="right"/>
              <w:rPr>
                <w:rFonts w:ascii="Arial" w:eastAsia="Times New Roman" w:hAnsi="Arial" w:cs="Times New Roman"/>
                <w:bCs/>
                <w:color w:val="000000"/>
                <w:szCs w:val="24"/>
                <w:lang w:val="vi-VN"/>
              </w:rPr>
            </w:pPr>
            <w:r w:rsidRPr="008B1A1F">
              <w:rPr>
                <w:rFonts w:ascii="Times New Roman" w:eastAsia="Times New Roman" w:hAnsi="Times New Roman" w:cs="Times New Roman"/>
                <w:bCs/>
                <w:color w:val="000000"/>
                <w:szCs w:val="24"/>
                <w:lang w:val="vi-VN"/>
              </w:rPr>
              <w:t xml:space="preserve">               140,000</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350,000</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8</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Chăm sóc y tế tại nhà (Giới hạn một năm)</w:t>
            </w:r>
          </w:p>
        </w:tc>
        <w:tc>
          <w:tcPr>
            <w:tcW w:w="1242" w:type="dxa"/>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15 ngày</w:t>
            </w:r>
          </w:p>
        </w:tc>
        <w:tc>
          <w:tcPr>
            <w:tcW w:w="1242" w:type="dxa"/>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30 ngày</w:t>
            </w:r>
          </w:p>
        </w:tc>
        <w:tc>
          <w:tcPr>
            <w:tcW w:w="1242" w:type="dxa"/>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60 ngày</w:t>
            </w:r>
          </w:p>
        </w:tc>
        <w:tc>
          <w:tcPr>
            <w:tcW w:w="1224" w:type="dxa"/>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120 ngày</w:t>
            </w:r>
          </w:p>
        </w:tc>
        <w:tc>
          <w:tcPr>
            <w:tcW w:w="1260" w:type="dxa"/>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240 ngày</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9</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Chi phí phẫu thuật (nội trú)/một cuộc phẫu thuật/một bệnh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24,000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48,000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96,000 </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192,000 </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480,000 </w:t>
            </w:r>
          </w:p>
        </w:tc>
      </w:tr>
      <w:tr w:rsidR="008B1A1F" w:rsidRPr="008B1A1F" w:rsidTr="008F796A">
        <w:tblPrEx>
          <w:tblCellMar>
            <w:top w:w="0" w:type="dxa"/>
            <w:bottom w:w="0" w:type="dxa"/>
          </w:tblCellMar>
        </w:tblPrEx>
        <w:tc>
          <w:tcPr>
            <w:tcW w:w="720" w:type="dxa"/>
            <w:tcBorders>
              <w:top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10</w:t>
            </w:r>
          </w:p>
        </w:tc>
        <w:tc>
          <w:tcPr>
            <w:tcW w:w="3960" w:type="dxa"/>
            <w:tcBorders>
              <w:top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Cấy ghép nội tạng (Giới hạn một thời hạn bảo hiểm)</w:t>
            </w:r>
          </w:p>
        </w:tc>
        <w:tc>
          <w:tcPr>
            <w:tcW w:w="1242"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100,000 </w:t>
            </w:r>
          </w:p>
        </w:tc>
        <w:tc>
          <w:tcPr>
            <w:tcW w:w="1242"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200,000 </w:t>
            </w:r>
          </w:p>
        </w:tc>
        <w:tc>
          <w:tcPr>
            <w:tcW w:w="1242"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400,000 </w:t>
            </w:r>
          </w:p>
        </w:tc>
        <w:tc>
          <w:tcPr>
            <w:tcW w:w="1224"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800,000 </w:t>
            </w:r>
          </w:p>
        </w:tc>
        <w:tc>
          <w:tcPr>
            <w:tcW w:w="1260"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2,000,000 </w:t>
            </w:r>
          </w:p>
        </w:tc>
      </w:tr>
      <w:tr w:rsidR="008B1A1F" w:rsidRPr="008B1A1F" w:rsidTr="008F796A">
        <w:tblPrEx>
          <w:tblCellMar>
            <w:top w:w="0" w:type="dxa"/>
            <w:bottom w:w="0" w:type="dxa"/>
          </w:tblCellMar>
        </w:tblPrEx>
        <w:tc>
          <w:tcPr>
            <w:tcW w:w="720" w:type="dxa"/>
            <w:tcBorders>
              <w:bottom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11</w:t>
            </w:r>
          </w:p>
        </w:tc>
        <w:tc>
          <w:tcPr>
            <w:tcW w:w="3960" w:type="dxa"/>
            <w:tcBorders>
              <w:bottom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Khám chuyên khoa nội trú (tối đa 01 lần/ngày và 180 ngày/năm).</w:t>
            </w:r>
          </w:p>
        </w:tc>
        <w:tc>
          <w:tcPr>
            <w:tcW w:w="1242"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500/ngày</w:t>
            </w:r>
          </w:p>
        </w:tc>
        <w:tc>
          <w:tcPr>
            <w:tcW w:w="1242"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1,000/ngày</w:t>
            </w:r>
          </w:p>
        </w:tc>
        <w:tc>
          <w:tcPr>
            <w:tcW w:w="1242"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2,000/ngày</w:t>
            </w:r>
          </w:p>
        </w:tc>
        <w:tc>
          <w:tcPr>
            <w:tcW w:w="1224"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3,000/ngày</w:t>
            </w:r>
          </w:p>
        </w:tc>
        <w:tc>
          <w:tcPr>
            <w:tcW w:w="1260" w:type="dxa"/>
            <w:tcBorders>
              <w:bottom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5,000/ngày</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12</w:t>
            </w:r>
          </w:p>
        </w:tc>
        <w:tc>
          <w:tcPr>
            <w:tcW w:w="3960" w:type="dxa"/>
            <w:tcBorders>
              <w:right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Điều trị ngoại trú do tai nạn khẩn cấp (điều trị được thực hiện trong vòng 24 giờ tại Khoa ngoại trú sau 01 tai nạn)/một thời hạn bảo hiểm.</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5,000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10,000</w:t>
            </w:r>
          </w:p>
        </w:tc>
        <w:tc>
          <w:tcPr>
            <w:tcW w:w="1242" w:type="dxa"/>
            <w:tcBorders>
              <w:left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15,000</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30,000</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60,000 </w:t>
            </w:r>
          </w:p>
        </w:tc>
      </w:tr>
      <w:tr w:rsidR="008B1A1F" w:rsidRPr="008B1A1F" w:rsidTr="008F796A">
        <w:tblPrEx>
          <w:tblCellMar>
            <w:top w:w="0" w:type="dxa"/>
            <w:bottom w:w="0" w:type="dxa"/>
          </w:tblCellMar>
        </w:tblPrEx>
        <w:tc>
          <w:tcPr>
            <w:tcW w:w="720" w:type="dxa"/>
            <w:tcBorders>
              <w:top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13</w:t>
            </w:r>
          </w:p>
        </w:tc>
        <w:tc>
          <w:tcPr>
            <w:tcW w:w="3960" w:type="dxa"/>
            <w:tcBorders>
              <w:top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Điều trị răng do tai nạn cấp cứu (điều trị thực hiện trong vòng 24 giờ tại phòng cấp cứu của bệnh viện ngay sau khi xảy ra tai nạn)/thời hạn bảo hiểm</w:t>
            </w:r>
          </w:p>
        </w:tc>
        <w:tc>
          <w:tcPr>
            <w:tcW w:w="1242"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5,000 </w:t>
            </w:r>
          </w:p>
        </w:tc>
        <w:tc>
          <w:tcPr>
            <w:tcW w:w="1242"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10,000</w:t>
            </w:r>
          </w:p>
        </w:tc>
        <w:tc>
          <w:tcPr>
            <w:tcW w:w="1242"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15,000</w:t>
            </w:r>
          </w:p>
        </w:tc>
        <w:tc>
          <w:tcPr>
            <w:tcW w:w="1224"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30,000</w:t>
            </w:r>
          </w:p>
        </w:tc>
        <w:tc>
          <w:tcPr>
            <w:tcW w:w="1260" w:type="dxa"/>
            <w:tcBorders>
              <w:top w:val="nil"/>
            </w:tcBorders>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60,000 </w:t>
            </w:r>
          </w:p>
        </w:tc>
      </w:tr>
      <w:tr w:rsidR="008B1A1F" w:rsidRPr="008B1A1F" w:rsidTr="008F796A">
        <w:tblPrEx>
          <w:tblCellMar>
            <w:top w:w="0" w:type="dxa"/>
            <w:bottom w:w="0" w:type="dxa"/>
          </w:tblCellMar>
        </w:tblPrEx>
        <w:tc>
          <w:tcPr>
            <w:tcW w:w="720" w:type="dxa"/>
            <w:tcBorders>
              <w:top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14</w:t>
            </w:r>
          </w:p>
        </w:tc>
        <w:tc>
          <w:tcPr>
            <w:tcW w:w="3960" w:type="dxa"/>
            <w:tcBorders>
              <w:top w:val="nil"/>
            </w:tcBorders>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Vận chuyển y tế cấp cứu/thời hạn bảo hiểm </w:t>
            </w:r>
          </w:p>
        </w:tc>
        <w:tc>
          <w:tcPr>
            <w:tcW w:w="1242" w:type="dxa"/>
            <w:tcBorders>
              <w:top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Toàn bộ</w:t>
            </w:r>
          </w:p>
        </w:tc>
        <w:tc>
          <w:tcPr>
            <w:tcW w:w="1242" w:type="dxa"/>
            <w:tcBorders>
              <w:top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Toàn bộ</w:t>
            </w:r>
          </w:p>
        </w:tc>
        <w:tc>
          <w:tcPr>
            <w:tcW w:w="1242" w:type="dxa"/>
            <w:tcBorders>
              <w:top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50,000</w:t>
            </w:r>
          </w:p>
        </w:tc>
        <w:tc>
          <w:tcPr>
            <w:tcW w:w="1224" w:type="dxa"/>
            <w:tcBorders>
              <w:top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50,000</w:t>
            </w:r>
          </w:p>
        </w:tc>
        <w:tc>
          <w:tcPr>
            <w:tcW w:w="1260" w:type="dxa"/>
            <w:tcBorders>
              <w:top w:val="nil"/>
            </w:tcBorders>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50,000</w:t>
            </w:r>
          </w:p>
        </w:tc>
      </w:tr>
      <w:tr w:rsidR="008B1A1F" w:rsidRPr="008B1A1F" w:rsidTr="008F796A">
        <w:tblPrEx>
          <w:tblCellMar>
            <w:top w:w="0" w:type="dxa"/>
            <w:bottom w:w="0" w:type="dxa"/>
          </w:tblCellMar>
        </w:tblPrEx>
        <w:tc>
          <w:tcPr>
            <w:tcW w:w="72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15</w:t>
            </w:r>
          </w:p>
        </w:tc>
        <w:tc>
          <w:tcPr>
            <w:tcW w:w="3960" w:type="dxa"/>
          </w:tcPr>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Khiếu nại liên quan đến tai nạn xe máy</w:t>
            </w:r>
          </w:p>
          <w:p w:rsidR="008B1A1F" w:rsidRPr="008B1A1F" w:rsidRDefault="008B1A1F" w:rsidP="008B1A1F">
            <w:pPr>
              <w:spacing w:after="0" w:line="240" w:lineRule="auto"/>
              <w:jc w:val="both"/>
              <w:rPr>
                <w:rFonts w:ascii="Times New Roman" w:eastAsia="Times New Roman" w:hAnsi="Times New Roman" w:cs="Times New Roman"/>
                <w:color w:val="000000"/>
                <w:szCs w:val="24"/>
                <w:lang w:val="vi-VN"/>
              </w:rPr>
            </w:pPr>
            <w:r w:rsidRPr="008B1A1F">
              <w:rPr>
                <w:rFonts w:ascii="Times New Roman" w:eastAsia="Times New Roman" w:hAnsi="Times New Roman" w:cs="Times New Roman"/>
                <w:color w:val="000000"/>
                <w:szCs w:val="24"/>
                <w:lang w:val="vi-VN"/>
              </w:rPr>
              <w:t xml:space="preserve">Giới hạn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50,000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100,000 </w:t>
            </w:r>
          </w:p>
        </w:tc>
        <w:tc>
          <w:tcPr>
            <w:tcW w:w="1242"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200,000 </w:t>
            </w:r>
          </w:p>
        </w:tc>
        <w:tc>
          <w:tcPr>
            <w:tcW w:w="1224"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400,000 </w:t>
            </w:r>
          </w:p>
        </w:tc>
        <w:tc>
          <w:tcPr>
            <w:tcW w:w="1260" w:type="dxa"/>
            <w:vAlign w:val="bottom"/>
          </w:tcPr>
          <w:p w:rsidR="008B1A1F" w:rsidRPr="008B1A1F" w:rsidRDefault="008B1A1F" w:rsidP="008B1A1F">
            <w:pPr>
              <w:spacing w:after="0" w:line="240" w:lineRule="auto"/>
              <w:jc w:val="right"/>
              <w:rPr>
                <w:rFonts w:ascii="Times New Roman" w:eastAsia="Times New Roman" w:hAnsi="Times New Roman" w:cs="Times New Roman"/>
                <w:bCs/>
                <w:color w:val="000000"/>
                <w:szCs w:val="24"/>
                <w:lang w:val="vi-VN"/>
              </w:rPr>
            </w:pPr>
            <w:r w:rsidRPr="008B1A1F">
              <w:rPr>
                <w:rFonts w:ascii="Times New Roman" w:eastAsia="Times New Roman" w:hAnsi="Times New Roman" w:cs="Times New Roman"/>
                <w:bCs/>
                <w:color w:val="000000"/>
                <w:szCs w:val="24"/>
                <w:lang w:val="vi-VN"/>
              </w:rPr>
              <w:t xml:space="preserve">               600,000 </w:t>
            </w:r>
          </w:p>
        </w:tc>
      </w:tr>
    </w:tbl>
    <w:p w:rsidR="008B1A1F" w:rsidRPr="008B1A1F" w:rsidRDefault="008B1A1F" w:rsidP="008B1A1F">
      <w:pPr>
        <w:spacing w:before="120" w:after="0" w:line="240" w:lineRule="auto"/>
        <w:ind w:right="-990"/>
        <w:jc w:val="both"/>
        <w:rPr>
          <w:rFonts w:ascii="Times New Roman" w:eastAsia="Times New Roman" w:hAnsi="Times New Roman" w:cs="Times New Roman"/>
          <w:i/>
          <w:color w:val="000000"/>
          <w:szCs w:val="24"/>
          <w:u w:val="single"/>
          <w:lang w:val="vi-VN"/>
        </w:rPr>
      </w:pPr>
    </w:p>
    <w:p w:rsidR="008B1A1F" w:rsidRPr="008B1A1F" w:rsidRDefault="008B1A1F" w:rsidP="008B1A1F">
      <w:pPr>
        <w:spacing w:before="120" w:after="0" w:line="240" w:lineRule="auto"/>
        <w:ind w:right="-990"/>
        <w:jc w:val="both"/>
        <w:rPr>
          <w:rFonts w:ascii="Times New Roman" w:eastAsia="Times New Roman" w:hAnsi="Times New Roman" w:cs="Times New Roman"/>
          <w:i/>
          <w:color w:val="000000"/>
          <w:szCs w:val="24"/>
          <w:lang w:val="vi-VN"/>
        </w:rPr>
      </w:pPr>
      <w:r w:rsidRPr="008B1A1F">
        <w:rPr>
          <w:rFonts w:ascii="Times New Roman" w:eastAsia="Times New Roman" w:hAnsi="Times New Roman" w:cs="Times New Roman"/>
          <w:i/>
          <w:color w:val="000000"/>
          <w:szCs w:val="24"/>
          <w:lang w:val="vi-VN"/>
        </w:rPr>
        <w:t>Người được bảo hiểm nếu theo chỉ định của bác sỹ lựa chọn phương thức điều trị ngoài Tây y thì sẽ chỉ  được hưởng 50% số tiền của các quyền lợi bảo hiểm ghi trong bảng trên.</w:t>
      </w:r>
    </w:p>
    <w:p w:rsidR="008B1A1F" w:rsidRPr="008B1A1F" w:rsidRDefault="008B1A1F" w:rsidP="008B1A1F">
      <w:pPr>
        <w:spacing w:after="0" w:line="240" w:lineRule="auto"/>
        <w:rPr>
          <w:rFonts w:ascii="Times New Roman" w:eastAsia="Times New Roman" w:hAnsi="Times New Roman" w:cs="Times New Roman"/>
          <w:sz w:val="26"/>
          <w:szCs w:val="24"/>
          <w:lang w:val="vi-VN"/>
        </w:rPr>
      </w:pPr>
    </w:p>
    <w:p w:rsidR="00C576A4" w:rsidRDefault="00C576A4"/>
    <w:sectPr w:rsidR="00C576A4" w:rsidSect="00220265">
      <w:pgSz w:w="11909" w:h="16834" w:code="9"/>
      <w:pgMar w:top="1440" w:right="1584"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B1A1F"/>
    <w:rsid w:val="008B1A1F"/>
    <w:rsid w:val="00C576A4"/>
    <w:rsid w:val="00E0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A4"/>
    <w:rPr>
      <w:lang w:val="en-GB"/>
    </w:rPr>
  </w:style>
  <w:style w:type="paragraph" w:styleId="Heading2">
    <w:name w:val="heading 2"/>
    <w:basedOn w:val="Normal"/>
    <w:next w:val="Normal"/>
    <w:link w:val="Heading2Char"/>
    <w:qFormat/>
    <w:rsid w:val="008B1A1F"/>
    <w:pPr>
      <w:keepNext/>
      <w:shd w:val="clear" w:color="auto" w:fill="339966"/>
      <w:spacing w:after="0" w:line="240" w:lineRule="auto"/>
      <w:outlineLvl w:val="1"/>
    </w:pPr>
    <w:rPr>
      <w:rFonts w:ascii="Times New Roman" w:eastAsia="Times New Roman" w:hAnsi="Times New Roman" w:cs="Times New Roman"/>
      <w:b/>
      <w:bCs/>
      <w:color w:val="FFFFFF"/>
      <w:sz w:val="3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1A1F"/>
    <w:rPr>
      <w:rFonts w:ascii="Times New Roman" w:eastAsia="Times New Roman" w:hAnsi="Times New Roman" w:cs="Times New Roman"/>
      <w:b/>
      <w:bCs/>
      <w:color w:val="FFFFFF"/>
      <w:sz w:val="38"/>
      <w:szCs w:val="24"/>
      <w:shd w:val="clear" w:color="auto" w:fill="3399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MC700</dc:creator>
  <cp:lastModifiedBy>MC700</cp:lastModifiedBy>
  <cp:revision>1</cp:revision>
  <dcterms:created xsi:type="dcterms:W3CDTF">2013-05-01T09:43:00Z</dcterms:created>
  <dcterms:modified xsi:type="dcterms:W3CDTF">2013-05-01T09:45:00Z</dcterms:modified>
</cp:coreProperties>
</file>